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2EA08">
      <w:pPr>
        <w:jc w:val="center"/>
        <w:rPr>
          <w:rFonts w:hint="eastAsia" w:ascii="黑体" w:hAnsi="黑体" w:eastAsia="黑体"/>
          <w:sz w:val="44"/>
          <w:szCs w:val="44"/>
          <w:lang w:eastAsia="zh-CN"/>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6CFCF566">
      <w:pPr>
        <w:jc w:val="center"/>
        <w:rPr>
          <w:rFonts w:hint="eastAsia" w:ascii="黑体" w:hAnsi="黑体" w:eastAsia="黑体"/>
          <w:sz w:val="52"/>
          <w:szCs w:val="52"/>
          <w:highlight w:val="none"/>
        </w:rPr>
      </w:pPr>
      <w:r>
        <w:rPr>
          <w:rFonts w:hint="eastAsia" w:ascii="黑体" w:hAnsi="黑体" w:eastAsia="黑体"/>
          <w:sz w:val="52"/>
          <w:szCs w:val="52"/>
          <w:highlight w:val="none"/>
        </w:rPr>
        <w:t>永吉县粮食标准质量服务中心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highlight w:val="none"/>
        </w:rPr>
        <w:t>永吉县粮食标准质量服务中心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1941BD35">
      <w:pPr>
        <w:jc w:val="center"/>
        <w:rPr>
          <w:rFonts w:hint="default" w:ascii="黑体" w:hAnsi="黑体" w:eastAsia="黑体"/>
          <w:sz w:val="32"/>
          <w:szCs w:val="32"/>
        </w:rPr>
      </w:pPr>
      <w:r>
        <w:rPr>
          <w:rFonts w:hint="eastAsia" w:ascii="黑体" w:hAnsi="黑体" w:eastAsia="黑体"/>
          <w:sz w:val="32"/>
          <w:szCs w:val="32"/>
          <w:lang w:val="en-US" w:eastAsia="zh-CN"/>
        </w:rPr>
        <w:t>第</w:t>
      </w:r>
      <w:r>
        <w:rPr>
          <w:rFonts w:hint="default" w:ascii="黑体" w:hAnsi="黑体" w:eastAsia="黑体"/>
          <w:sz w:val="32"/>
          <w:szCs w:val="32"/>
        </w:rPr>
        <w:t>一部分</w:t>
      </w:r>
      <w:r>
        <w:rPr>
          <w:rFonts w:hint="default" w:ascii="黑体" w:hAnsi="黑体" w:eastAsia="黑体"/>
          <w:sz w:val="32"/>
          <w:szCs w:val="32"/>
          <w:lang w:val="en-US" w:eastAsia="zh-CN"/>
        </w:rPr>
        <w:t xml:space="preserve"> </w:t>
      </w:r>
      <w:r>
        <w:rPr>
          <w:rFonts w:hint="default" w:ascii="黑体" w:hAnsi="黑体" w:eastAsia="黑体"/>
          <w:sz w:val="32"/>
          <w:szCs w:val="32"/>
        </w:rPr>
        <w:t>部门概况</w:t>
      </w:r>
    </w:p>
    <w:p w14:paraId="3AE62093">
      <w:pPr>
        <w:keepNext w:val="0"/>
        <w:keepLines w:val="0"/>
        <w:pageBreakBefore w:val="0"/>
        <w:widowControl w:val="0"/>
        <w:kinsoku/>
        <w:wordWrap/>
        <w:overflowPunct/>
        <w:topLinePunct w:val="0"/>
        <w:autoSpaceDE w:val="0"/>
        <w:autoSpaceDN w:val="0"/>
        <w:bidi w:val="0"/>
        <w:adjustRightInd/>
        <w:snapToGrid/>
        <w:spacing w:line="540" w:lineRule="exact"/>
        <w:textAlignment w:val="auto"/>
        <w:rPr>
          <w:rFonts w:hint="default" w:ascii="Times New Roman" w:hAnsi="Times New Roman" w:eastAsia="仿宋" w:cs="Times New Roman"/>
          <w:color w:val="auto"/>
          <w:sz w:val="32"/>
          <w:szCs w:val="32"/>
        </w:rPr>
      </w:pPr>
    </w:p>
    <w:p w14:paraId="30BAA6C0">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楷体" w:cs="Times New Roman"/>
          <w:color w:val="auto"/>
          <w:sz w:val="32"/>
          <w:szCs w:val="32"/>
        </w:rPr>
      </w:pPr>
      <w:r>
        <w:rPr>
          <w:rFonts w:hint="default" w:ascii="Times New Roman" w:hAnsi="Times New Roman" w:eastAsia="黑体" w:cs="Times New Roman"/>
          <w:color w:val="auto"/>
          <w:sz w:val="32"/>
          <w:szCs w:val="32"/>
        </w:rPr>
        <w:t>一、</w:t>
      </w:r>
      <w:r>
        <w:rPr>
          <w:rFonts w:hint="default" w:ascii="Times New Roman" w:hAnsi="Times New Roman" w:eastAsia="黑体" w:cs="Times New Roman"/>
          <w:color w:val="auto"/>
          <w:sz w:val="32"/>
          <w:szCs w:val="32"/>
          <w:lang w:val="en-US" w:eastAsia="zh-CN"/>
        </w:rPr>
        <w:t>部门</w:t>
      </w:r>
      <w:r>
        <w:rPr>
          <w:rFonts w:hint="default" w:ascii="Times New Roman" w:hAnsi="Times New Roman" w:eastAsia="黑体" w:cs="Times New Roman"/>
          <w:color w:val="auto"/>
          <w:sz w:val="32"/>
          <w:szCs w:val="32"/>
        </w:rPr>
        <w:t>职责：</w:t>
      </w:r>
    </w:p>
    <w:p w14:paraId="10F3C528">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（一）负责粮食收购质量，品质测报和卫生状况的调查工作。</w:t>
      </w:r>
    </w:p>
    <w:p w14:paraId="77197881">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（二）保证储备粮油等政策性粮油的质量指标真实，确保国家宏观调控的需要。</w:t>
      </w:r>
    </w:p>
    <w:p w14:paraId="7247A35C">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（三）开展有关粮油检验技术培训与咨询服务。</w:t>
      </w:r>
    </w:p>
    <w:p w14:paraId="3D581D38">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（四）协助粮食行政管理部门做好有关法律法规、方针政策和粮油标准的宣传贯彻工作</w:t>
      </w:r>
    </w:p>
    <w:p w14:paraId="38F8719E">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（五）协助粮食行政管理部门制订粮食质量安全监测计划，提供相应的技术支持。</w:t>
      </w:r>
    </w:p>
    <w:p w14:paraId="43FD29AE">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default" w:ascii="Times New Roman" w:hAnsi="Times New Roman" w:eastAsia="仿宋" w:cs="Times New Roman"/>
          <w:color w:val="auto"/>
          <w:sz w:val="32"/>
          <w:szCs w:val="32"/>
          <w:lang w:val="en-US" w:eastAsia="zh-CN"/>
        </w:rPr>
      </w:pPr>
      <w:r>
        <w:rPr>
          <w:rFonts w:hint="default" w:ascii="Times New Roman" w:hAnsi="Times New Roman" w:eastAsia="仿宋" w:cs="Times New Roman"/>
          <w:color w:val="auto"/>
          <w:sz w:val="32"/>
          <w:szCs w:val="32"/>
          <w:lang w:val="en-US" w:eastAsia="zh-CN"/>
        </w:rPr>
        <w:t>（六）收集、报送当地粮食质量安全信息，提出有关工作建议和意见。</w:t>
      </w:r>
    </w:p>
    <w:p w14:paraId="0D6199E8">
      <w:pPr>
        <w:keepNext w:val="0"/>
        <w:keepLines w:val="0"/>
        <w:pageBreakBefore w:val="0"/>
        <w:widowControl w:val="0"/>
        <w:kinsoku/>
        <w:wordWrap/>
        <w:overflowPunct/>
        <w:topLinePunct w:val="0"/>
        <w:autoSpaceDE w:val="0"/>
        <w:autoSpaceDN w:val="0"/>
        <w:bidi w:val="0"/>
        <w:adjustRightInd/>
        <w:snapToGrid/>
        <w:spacing w:line="540" w:lineRule="exact"/>
        <w:ind w:firstLine="640" w:firstLineChars="200"/>
        <w:textAlignment w:val="auto"/>
        <w:rPr>
          <w:rFonts w:hint="eastAsia" w:ascii="Times New Roman" w:hAnsi="Times New Roman" w:eastAsia="黑体" w:cs="Times New Roman"/>
          <w:color w:val="auto"/>
          <w:sz w:val="32"/>
          <w:szCs w:val="32"/>
          <w:lang w:eastAsia="zh-CN"/>
        </w:rPr>
      </w:pPr>
      <w:r>
        <w:rPr>
          <w:rFonts w:hint="default" w:ascii="Times New Roman" w:hAnsi="Times New Roman" w:eastAsia="黑体" w:cs="Times New Roman"/>
          <w:color w:val="auto"/>
          <w:sz w:val="32"/>
          <w:szCs w:val="32"/>
        </w:rPr>
        <w:t>二、</w:t>
      </w:r>
      <w:r>
        <w:rPr>
          <w:rFonts w:hint="eastAsia" w:ascii="Times New Roman" w:hAnsi="Times New Roman" w:eastAsia="黑体" w:cs="Times New Roman"/>
          <w:color w:val="auto"/>
          <w:sz w:val="32"/>
          <w:szCs w:val="32"/>
          <w:lang w:val="en-US" w:eastAsia="zh-CN"/>
        </w:rPr>
        <w:t>部门简介</w:t>
      </w:r>
    </w:p>
    <w:p w14:paraId="1A584BFD">
      <w:pPr>
        <w:jc w:val="center"/>
        <w:rPr>
          <w:rFonts w:hint="eastAsia"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rPr>
        <w:t>核定编制1</w:t>
      </w:r>
      <w:r>
        <w:rPr>
          <w:rFonts w:hint="eastAsia" w:ascii="Times New Roman" w:hAnsi="Times New Roman" w:eastAsia="仿宋" w:cs="Times New Roman"/>
          <w:color w:val="auto"/>
          <w:sz w:val="32"/>
          <w:szCs w:val="32"/>
          <w:lang w:val="en-US" w:eastAsia="zh-CN"/>
        </w:rPr>
        <w:t>6</w:t>
      </w:r>
      <w:r>
        <w:rPr>
          <w:rFonts w:hint="eastAsia" w:ascii="Times New Roman" w:hAnsi="Times New Roman" w:eastAsia="仿宋" w:cs="Times New Roman"/>
          <w:color w:val="auto"/>
          <w:sz w:val="32"/>
          <w:szCs w:val="32"/>
        </w:rPr>
        <w:t>人，在职职工</w:t>
      </w:r>
      <w:r>
        <w:rPr>
          <w:rFonts w:hint="eastAsia" w:ascii="Times New Roman" w:hAnsi="Times New Roman" w:eastAsia="仿宋" w:cs="Times New Roman"/>
          <w:color w:val="auto"/>
          <w:sz w:val="32"/>
          <w:szCs w:val="32"/>
          <w:lang w:val="en-US" w:eastAsia="zh-CN"/>
        </w:rPr>
        <w:t>14</w:t>
      </w:r>
      <w:r>
        <w:rPr>
          <w:rFonts w:hint="eastAsia" w:ascii="Times New Roman" w:hAnsi="Times New Roman" w:eastAsia="仿宋" w:cs="Times New Roman"/>
          <w:color w:val="auto"/>
          <w:sz w:val="32"/>
          <w:szCs w:val="32"/>
        </w:rPr>
        <w:t>名，退休人员</w:t>
      </w:r>
      <w:r>
        <w:rPr>
          <w:rFonts w:hint="eastAsia" w:ascii="Times New Roman" w:hAnsi="Times New Roman" w:eastAsia="仿宋" w:cs="Times New Roman"/>
          <w:color w:val="auto"/>
          <w:sz w:val="32"/>
          <w:szCs w:val="32"/>
          <w:lang w:val="en-US" w:eastAsia="zh-CN"/>
        </w:rPr>
        <w:t>4</w:t>
      </w:r>
      <w:r>
        <w:rPr>
          <w:rFonts w:hint="eastAsia" w:ascii="Times New Roman" w:hAnsi="Times New Roman" w:eastAsia="仿宋" w:cs="Times New Roman"/>
          <w:color w:val="auto"/>
          <w:sz w:val="32"/>
          <w:szCs w:val="32"/>
        </w:rPr>
        <w:t>名。</w:t>
      </w:r>
      <w:r>
        <w:rPr>
          <w:rFonts w:hint="eastAsia" w:ascii="Times New Roman" w:hAnsi="Times New Roman" w:eastAsia="仿宋" w:cs="Times New Roman"/>
          <w:color w:val="auto"/>
          <w:sz w:val="32"/>
          <w:szCs w:val="32"/>
        </w:rPr>
        <w:br w:type="textWrapping"/>
      </w:r>
    </w:p>
    <w:p w14:paraId="7D5D8C46">
      <w:pPr>
        <w:jc w:val="center"/>
        <w:rPr>
          <w:rFonts w:hint="eastAsia" w:ascii="Times New Roman" w:hAnsi="Times New Roman" w:eastAsia="仿宋" w:cs="Times New Roman"/>
          <w:color w:val="auto"/>
          <w:sz w:val="32"/>
          <w:szCs w:val="32"/>
        </w:rPr>
      </w:pPr>
      <w:bookmarkStart w:id="0" w:name="_GoBack"/>
      <w:bookmarkEnd w:id="0"/>
    </w:p>
    <w:p w14:paraId="3CF90368">
      <w:pPr>
        <w:jc w:val="center"/>
        <w:rPr>
          <w:rFonts w:hint="eastAsia" w:ascii="Times New Roman" w:hAnsi="Times New Roman" w:eastAsia="仿宋" w:cs="Times New Roman"/>
          <w:color w:val="auto"/>
          <w:sz w:val="32"/>
          <w:szCs w:val="32"/>
        </w:rPr>
      </w:pPr>
    </w:p>
    <w:p w14:paraId="10E76C65">
      <w:pPr>
        <w:jc w:val="center"/>
        <w:rPr>
          <w:rFonts w:hint="eastAsia" w:ascii="Times New Roman" w:hAnsi="Times New Roman" w:eastAsia="仿宋" w:cs="Times New Roman"/>
          <w:color w:val="auto"/>
          <w:sz w:val="32"/>
          <w:szCs w:val="32"/>
        </w:rPr>
      </w:pPr>
    </w:p>
    <w:p w14:paraId="59CF2D4D">
      <w:pPr>
        <w:jc w:val="center"/>
        <w:rPr>
          <w:rFonts w:hint="eastAsia" w:ascii="Times New Roman" w:hAnsi="Times New Roman" w:eastAsia="仿宋" w:cs="Times New Roman"/>
          <w:color w:val="auto"/>
          <w:sz w:val="32"/>
          <w:szCs w:val="32"/>
        </w:rPr>
      </w:pPr>
    </w:p>
    <w:p w14:paraId="2894A426">
      <w:pPr>
        <w:jc w:val="center"/>
        <w:rPr>
          <w:rFonts w:hint="eastAsia" w:ascii="Times New Roman" w:hAnsi="Times New Roman" w:eastAsia="仿宋" w:cs="Times New Roman"/>
          <w:color w:val="auto"/>
          <w:sz w:val="32"/>
          <w:szCs w:val="32"/>
        </w:rPr>
      </w:pPr>
    </w:p>
    <w:p w14:paraId="7A4FB5A8">
      <w:pPr>
        <w:jc w:val="center"/>
        <w:rPr>
          <w:rFonts w:hint="eastAsia" w:ascii="Times New Roman" w:hAnsi="Times New Roman" w:eastAsia="仿宋" w:cs="Times New Roman"/>
          <w:color w:val="auto"/>
          <w:sz w:val="32"/>
          <w:szCs w:val="32"/>
        </w:rPr>
      </w:pPr>
    </w:p>
    <w:p w14:paraId="10D826CA">
      <w:pPr>
        <w:jc w:val="center"/>
        <w:rPr>
          <w:rFonts w:hint="eastAsia" w:ascii="Times New Roman" w:hAnsi="Times New Roman" w:eastAsia="仿宋" w:cs="Times New Roman"/>
          <w:color w:val="auto"/>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住房保障支出等。2026年收支总预算 </w:t>
      </w:r>
      <w:r>
        <w:rPr>
          <w:rFonts w:hint="eastAsia" w:ascii="仿宋" w:hAnsi="仿宋" w:eastAsia="仿宋"/>
          <w:sz w:val="32"/>
          <w:szCs w:val="32"/>
          <w:lang w:val="en-US" w:eastAsia="zh-CN"/>
        </w:rPr>
        <w:t>155.8</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140</w:t>
      </w:r>
      <w:r>
        <w:rPr>
          <w:rFonts w:hint="eastAsia" w:ascii="仿宋" w:hAnsi="仿宋" w:eastAsia="仿宋"/>
          <w:sz w:val="32"/>
          <w:szCs w:val="32"/>
        </w:rPr>
        <w:t xml:space="preserve"> 万元</w:t>
      </w:r>
      <w:r>
        <w:rPr>
          <w:rFonts w:hint="eastAsia" w:ascii="仿宋" w:hAnsi="仿宋" w:eastAsia="仿宋"/>
          <w:sz w:val="32"/>
          <w:szCs w:val="32"/>
          <w:lang w:val="en-US"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15.8</w:t>
      </w:r>
      <w:r>
        <w:rPr>
          <w:rFonts w:hint="eastAsia" w:ascii="仿宋" w:hAnsi="仿宋" w:eastAsia="仿宋"/>
          <w:sz w:val="32"/>
          <w:szCs w:val="32"/>
        </w:rPr>
        <w:t xml:space="preserve"> 万元，主要原因：</w:t>
      </w:r>
      <w:r>
        <w:rPr>
          <w:rFonts w:hint="eastAsia" w:ascii="仿宋" w:hAnsi="仿宋" w:eastAsia="仿宋"/>
          <w:sz w:val="32"/>
          <w:szCs w:val="32"/>
          <w:lang w:val="en-US" w:eastAsia="zh-CN"/>
        </w:rPr>
        <w:t>工资及各类社会保障支出增加</w:t>
      </w:r>
      <w:r>
        <w:rPr>
          <w:rFonts w:hint="eastAsia" w:ascii="仿宋" w:hAnsi="仿宋" w:eastAsia="仿宋"/>
          <w:sz w:val="32"/>
          <w:szCs w:val="32"/>
        </w:rPr>
        <w:t xml:space="preserve"> 。</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155.8</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155.8</w:t>
      </w:r>
      <w:r>
        <w:rPr>
          <w:rFonts w:hint="eastAsia" w:ascii="仿宋" w:hAnsi="仿宋" w:eastAsia="仿宋"/>
          <w:sz w:val="32"/>
          <w:szCs w:val="32"/>
        </w:rPr>
        <w:t xml:space="preserve"> 万元，占</w:t>
      </w:r>
      <w:r>
        <w:rPr>
          <w:rFonts w:hint="eastAsia" w:ascii="仿宋" w:hAnsi="仿宋" w:eastAsia="仿宋"/>
          <w:sz w:val="32"/>
          <w:szCs w:val="32"/>
          <w:lang w:val="en-US" w:eastAsia="zh-CN"/>
        </w:rPr>
        <w:t>100</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155.8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154.05</w:t>
      </w:r>
      <w:r>
        <w:rPr>
          <w:rFonts w:hint="eastAsia" w:ascii="仿宋" w:hAnsi="仿宋" w:eastAsia="仿宋"/>
          <w:sz w:val="32"/>
          <w:szCs w:val="32"/>
        </w:rPr>
        <w:t xml:space="preserve"> 万元，占</w:t>
      </w:r>
      <w:r>
        <w:rPr>
          <w:rFonts w:hint="eastAsia" w:ascii="仿宋" w:hAnsi="仿宋" w:eastAsia="仿宋"/>
          <w:sz w:val="32"/>
          <w:szCs w:val="32"/>
          <w:lang w:val="en-US" w:eastAsia="zh-CN"/>
        </w:rPr>
        <w:t>98.88</w:t>
      </w:r>
      <w:r>
        <w:rPr>
          <w:rFonts w:hint="eastAsia" w:ascii="仿宋" w:hAnsi="仿宋" w:eastAsia="仿宋"/>
          <w:sz w:val="32"/>
          <w:szCs w:val="32"/>
        </w:rPr>
        <w:t xml:space="preserve">%；项目支出 </w:t>
      </w:r>
      <w:r>
        <w:rPr>
          <w:rFonts w:hint="eastAsia" w:ascii="仿宋" w:hAnsi="仿宋" w:eastAsia="仿宋"/>
          <w:sz w:val="32"/>
          <w:szCs w:val="32"/>
          <w:lang w:val="en-US" w:eastAsia="zh-CN"/>
        </w:rPr>
        <w:t>1.75</w:t>
      </w:r>
      <w:r>
        <w:rPr>
          <w:rFonts w:hint="eastAsia" w:ascii="仿宋" w:hAnsi="仿宋" w:eastAsia="仿宋"/>
          <w:sz w:val="32"/>
          <w:szCs w:val="32"/>
        </w:rPr>
        <w:t xml:space="preserve"> 万元，占</w:t>
      </w:r>
      <w:r>
        <w:rPr>
          <w:rFonts w:hint="eastAsia" w:ascii="仿宋" w:hAnsi="仿宋" w:eastAsia="仿宋"/>
          <w:sz w:val="32"/>
          <w:szCs w:val="32"/>
          <w:lang w:val="en-US" w:eastAsia="zh-CN"/>
        </w:rPr>
        <w:t>1.12</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2"/>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155.8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155.8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155.8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127.09</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16.27</w:t>
      </w:r>
      <w:r>
        <w:rPr>
          <w:rFonts w:hint="eastAsia" w:ascii="仿宋" w:hAnsi="仿宋" w:eastAsia="仿宋"/>
          <w:sz w:val="32"/>
          <w:szCs w:val="32"/>
        </w:rPr>
        <w:t>万元，住房保障支出</w:t>
      </w:r>
      <w:r>
        <w:rPr>
          <w:rFonts w:hint="eastAsia" w:ascii="仿宋" w:hAnsi="仿宋" w:eastAsia="仿宋"/>
          <w:sz w:val="32"/>
          <w:szCs w:val="32"/>
          <w:lang w:val="en-US" w:eastAsia="zh-CN"/>
        </w:rPr>
        <w:t>12.45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155.8</w:t>
      </w:r>
      <w:r>
        <w:rPr>
          <w:rFonts w:hint="eastAsia" w:ascii="仿宋" w:hAnsi="仿宋" w:eastAsia="仿宋"/>
          <w:sz w:val="32"/>
          <w:szCs w:val="32"/>
        </w:rPr>
        <w:t>万元，其中：基本支出</w:t>
      </w:r>
      <w:r>
        <w:rPr>
          <w:rFonts w:hint="eastAsia" w:ascii="仿宋" w:hAnsi="仿宋" w:eastAsia="仿宋"/>
          <w:sz w:val="32"/>
          <w:szCs w:val="32"/>
          <w:lang w:val="en-US" w:eastAsia="zh-CN"/>
        </w:rPr>
        <w:t>154.05</w:t>
      </w:r>
      <w:r>
        <w:rPr>
          <w:rFonts w:hint="eastAsia" w:ascii="仿宋" w:hAnsi="仿宋" w:eastAsia="仿宋"/>
          <w:sz w:val="32"/>
          <w:szCs w:val="32"/>
        </w:rPr>
        <w:t>万元，占</w:t>
      </w:r>
      <w:r>
        <w:rPr>
          <w:rFonts w:hint="eastAsia" w:ascii="仿宋" w:hAnsi="仿宋" w:eastAsia="仿宋"/>
          <w:sz w:val="32"/>
          <w:szCs w:val="32"/>
          <w:lang w:val="en-US" w:eastAsia="zh-CN"/>
        </w:rPr>
        <w:t>98.8</w:t>
      </w:r>
      <w:r>
        <w:rPr>
          <w:rFonts w:hint="eastAsia" w:ascii="仿宋" w:hAnsi="仿宋" w:eastAsia="仿宋"/>
          <w:sz w:val="32"/>
          <w:szCs w:val="32"/>
        </w:rPr>
        <w:t>%；项目支出</w:t>
      </w:r>
      <w:r>
        <w:rPr>
          <w:rFonts w:hint="eastAsia" w:ascii="仿宋" w:hAnsi="仿宋" w:eastAsia="仿宋"/>
          <w:sz w:val="32"/>
          <w:szCs w:val="32"/>
          <w:lang w:val="en-US" w:eastAsia="zh-CN"/>
        </w:rPr>
        <w:t>1.75</w:t>
      </w:r>
      <w:r>
        <w:rPr>
          <w:rFonts w:hint="eastAsia" w:ascii="仿宋" w:hAnsi="仿宋" w:eastAsia="仿宋"/>
          <w:sz w:val="32"/>
          <w:szCs w:val="32"/>
        </w:rPr>
        <w:t>万元，占</w:t>
      </w:r>
      <w:r>
        <w:rPr>
          <w:rFonts w:hint="eastAsia" w:ascii="仿宋" w:hAnsi="仿宋" w:eastAsia="仿宋"/>
          <w:sz w:val="32"/>
          <w:szCs w:val="32"/>
          <w:lang w:val="en-US" w:eastAsia="zh-CN"/>
        </w:rPr>
        <w:t>1.12</w:t>
      </w:r>
      <w:r>
        <w:rPr>
          <w:rFonts w:hint="eastAsia" w:ascii="仿宋" w:hAnsi="仿宋" w:eastAsia="仿宋"/>
          <w:sz w:val="32"/>
          <w:szCs w:val="32"/>
        </w:rPr>
        <w:t>%。基本支出中，人员经费</w:t>
      </w:r>
      <w:r>
        <w:rPr>
          <w:rFonts w:hint="eastAsia" w:ascii="仿宋" w:hAnsi="仿宋" w:eastAsia="仿宋"/>
          <w:sz w:val="32"/>
          <w:szCs w:val="32"/>
          <w:lang w:val="en-US" w:eastAsia="zh-CN"/>
        </w:rPr>
        <w:t>141.21</w:t>
      </w:r>
      <w:r>
        <w:rPr>
          <w:rFonts w:hint="eastAsia" w:ascii="仿宋" w:hAnsi="仿宋" w:eastAsia="仿宋"/>
          <w:sz w:val="32"/>
          <w:szCs w:val="32"/>
        </w:rPr>
        <w:t>万元，占</w:t>
      </w:r>
      <w:r>
        <w:rPr>
          <w:rFonts w:hint="eastAsia" w:ascii="仿宋" w:hAnsi="仿宋" w:eastAsia="仿宋"/>
          <w:sz w:val="32"/>
          <w:szCs w:val="32"/>
          <w:lang w:val="en-US" w:eastAsia="zh-CN"/>
        </w:rPr>
        <w:t>91.67</w:t>
      </w:r>
      <w:r>
        <w:rPr>
          <w:rFonts w:hint="eastAsia" w:ascii="仿宋" w:hAnsi="仿宋" w:eastAsia="仿宋"/>
          <w:sz w:val="32"/>
          <w:szCs w:val="32"/>
        </w:rPr>
        <w:t>%；公用经费</w:t>
      </w:r>
      <w:r>
        <w:rPr>
          <w:rFonts w:hint="eastAsia" w:ascii="仿宋" w:hAnsi="仿宋" w:eastAsia="仿宋"/>
          <w:sz w:val="32"/>
          <w:szCs w:val="32"/>
          <w:lang w:val="en-US" w:eastAsia="zh-CN"/>
        </w:rPr>
        <w:t>12.85</w:t>
      </w:r>
      <w:r>
        <w:rPr>
          <w:rFonts w:hint="eastAsia" w:ascii="仿宋" w:hAnsi="仿宋" w:eastAsia="仿宋"/>
          <w:sz w:val="32"/>
          <w:szCs w:val="32"/>
        </w:rPr>
        <w:t>万元，占</w:t>
      </w:r>
      <w:r>
        <w:rPr>
          <w:rFonts w:hint="eastAsia" w:ascii="仿宋" w:hAnsi="仿宋" w:eastAsia="仿宋"/>
          <w:sz w:val="32"/>
          <w:szCs w:val="32"/>
          <w:lang w:val="en-US" w:eastAsia="zh-CN"/>
        </w:rPr>
        <w:t>8.33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 xml:space="preserve">一般公共服务（类）支出 </w:t>
      </w:r>
      <w:r>
        <w:rPr>
          <w:rFonts w:hint="eastAsia" w:ascii="仿宋" w:hAnsi="仿宋" w:eastAsia="仿宋"/>
          <w:sz w:val="32"/>
          <w:szCs w:val="32"/>
          <w:lang w:val="en-US" w:eastAsia="zh-CN"/>
        </w:rPr>
        <w:t>127.09</w:t>
      </w:r>
      <w:r>
        <w:rPr>
          <w:rFonts w:hint="eastAsia" w:ascii="仿宋" w:hAnsi="仿宋" w:eastAsia="仿宋"/>
          <w:sz w:val="32"/>
          <w:szCs w:val="32"/>
        </w:rPr>
        <w:t xml:space="preserve"> 万元，占</w:t>
      </w:r>
      <w:r>
        <w:rPr>
          <w:rFonts w:hint="eastAsia" w:ascii="仿宋" w:hAnsi="仿宋" w:eastAsia="仿宋"/>
          <w:sz w:val="32"/>
          <w:szCs w:val="32"/>
          <w:lang w:val="en-US" w:eastAsia="zh-CN"/>
        </w:rPr>
        <w:t>81.57</w:t>
      </w:r>
      <w:r>
        <w:rPr>
          <w:rFonts w:hint="eastAsia" w:ascii="仿宋" w:hAnsi="仿宋" w:eastAsia="仿宋"/>
          <w:sz w:val="32"/>
          <w:szCs w:val="32"/>
        </w:rPr>
        <w:t>%，主要用于：</w:t>
      </w:r>
      <w:r>
        <w:rPr>
          <w:rFonts w:hint="eastAsia" w:ascii="仿宋" w:hAnsi="仿宋" w:eastAsia="仿宋"/>
          <w:sz w:val="32"/>
          <w:szCs w:val="32"/>
          <w:lang w:val="en-US" w:eastAsia="zh-CN"/>
        </w:rPr>
        <w:t>人员工资及公用经费支出</w:t>
      </w:r>
      <w:r>
        <w:rPr>
          <w:rFonts w:hint="eastAsia" w:ascii="仿宋" w:hAnsi="仿宋" w:eastAsia="仿宋"/>
          <w:sz w:val="32"/>
          <w:szCs w:val="32"/>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16.27</w:t>
      </w:r>
      <w:r>
        <w:rPr>
          <w:rFonts w:hint="eastAsia" w:ascii="仿宋" w:hAnsi="仿宋" w:eastAsia="仿宋"/>
          <w:sz w:val="32"/>
          <w:szCs w:val="32"/>
        </w:rPr>
        <w:t xml:space="preserve"> 万元，占</w:t>
      </w:r>
      <w:r>
        <w:rPr>
          <w:rFonts w:hint="eastAsia" w:ascii="仿宋" w:hAnsi="仿宋" w:eastAsia="仿宋"/>
          <w:sz w:val="32"/>
          <w:szCs w:val="32"/>
          <w:lang w:val="en-US" w:eastAsia="zh-CN"/>
        </w:rPr>
        <w:t>10.44</w:t>
      </w:r>
      <w:r>
        <w:rPr>
          <w:rFonts w:hint="eastAsia" w:ascii="仿宋" w:hAnsi="仿宋" w:eastAsia="仿宋"/>
          <w:sz w:val="32"/>
          <w:szCs w:val="32"/>
        </w:rPr>
        <w:t>%，主要用于：</w:t>
      </w:r>
      <w:r>
        <w:rPr>
          <w:rFonts w:hint="eastAsia" w:ascii="仿宋" w:hAnsi="仿宋" w:eastAsia="仿宋"/>
          <w:sz w:val="32"/>
          <w:szCs w:val="32"/>
          <w:lang w:val="en-US" w:eastAsia="zh-CN"/>
        </w:rPr>
        <w:t>社会保障缴费支出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12.45</w:t>
      </w:r>
      <w:r>
        <w:rPr>
          <w:rFonts w:hint="eastAsia" w:ascii="仿宋" w:hAnsi="仿宋" w:eastAsia="仿宋"/>
          <w:sz w:val="32"/>
          <w:szCs w:val="32"/>
        </w:rPr>
        <w:t xml:space="preserve"> 万元，占</w:t>
      </w:r>
      <w:r>
        <w:rPr>
          <w:rFonts w:hint="eastAsia" w:ascii="仿宋" w:hAnsi="仿宋" w:eastAsia="仿宋"/>
          <w:sz w:val="32"/>
          <w:szCs w:val="32"/>
          <w:lang w:val="en-US" w:eastAsia="zh-CN"/>
        </w:rPr>
        <w:t>7.99</w:t>
      </w:r>
      <w:r>
        <w:rPr>
          <w:rFonts w:hint="eastAsia" w:ascii="仿宋" w:hAnsi="仿宋" w:eastAsia="仿宋"/>
          <w:sz w:val="32"/>
          <w:szCs w:val="32"/>
        </w:rPr>
        <w:t>%，主要用于：</w:t>
      </w:r>
      <w:r>
        <w:rPr>
          <w:rFonts w:hint="eastAsia" w:ascii="仿宋" w:hAnsi="仿宋" w:eastAsia="仿宋"/>
          <w:sz w:val="32"/>
          <w:szCs w:val="32"/>
          <w:lang w:val="en-US" w:eastAsia="zh-CN"/>
        </w:rPr>
        <w:t>住房保障类支出</w:t>
      </w: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154.05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141.21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12.85</w:t>
      </w:r>
      <w:r>
        <w:rPr>
          <w:rFonts w:hint="eastAsia" w:ascii="仿宋" w:hAnsi="仿宋" w:eastAsia="仿宋"/>
          <w:sz w:val="32"/>
          <w:szCs w:val="32"/>
        </w:rPr>
        <w:t>万元，主要包括：办公费、印刷费、水费、电费、邮电费、取暖费、差旅费、工会经费等。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5B2D5F87">
      <w:pPr>
        <w:pStyle w:val="10"/>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2026年</w:t>
      </w:r>
      <w:r>
        <w:rPr>
          <w:rFonts w:hint="eastAsia" w:ascii="仿宋" w:hAnsi="仿宋" w:eastAsia="仿宋"/>
          <w:sz w:val="32"/>
          <w:szCs w:val="32"/>
        </w:rPr>
        <w:t>单位无</w:t>
      </w:r>
      <w:r>
        <w:rPr>
          <w:rFonts w:hint="eastAsia" w:ascii="仿宋" w:hAnsi="仿宋" w:eastAsia="仿宋"/>
          <w:kern w:val="0"/>
          <w:sz w:val="32"/>
          <w:szCs w:val="32"/>
        </w:rPr>
        <w:t>“三公”经费预算</w:t>
      </w:r>
      <w:r>
        <w:rPr>
          <w:rFonts w:hint="eastAsia" w:ascii="仿宋" w:hAnsi="仿宋" w:eastAsia="仿宋"/>
          <w:sz w:val="32"/>
          <w:szCs w:val="32"/>
        </w:rPr>
        <w:t>支出</w:t>
      </w:r>
      <w:r>
        <w:rPr>
          <w:rFonts w:hint="eastAsia" w:ascii="仿宋" w:hAnsi="仿宋" w:eastAsia="仿宋"/>
          <w:sz w:val="32"/>
          <w:szCs w:val="32"/>
          <w:lang w:eastAsia="zh-CN"/>
        </w:rPr>
        <w:t>。</w:t>
      </w:r>
    </w:p>
    <w:p w14:paraId="60353E9A">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10"/>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12.85</w:t>
      </w:r>
      <w:r>
        <w:rPr>
          <w:rFonts w:hint="eastAsia" w:ascii="仿宋" w:hAnsi="仿宋" w:eastAsia="仿宋"/>
          <w:sz w:val="32"/>
          <w:szCs w:val="32"/>
        </w:rPr>
        <w:t xml:space="preserve"> 万元，比 2025年预算增加</w:t>
      </w:r>
      <w:r>
        <w:rPr>
          <w:rFonts w:hint="eastAsia" w:ascii="仿宋" w:hAnsi="仿宋" w:eastAsia="仿宋"/>
          <w:sz w:val="32"/>
          <w:szCs w:val="32"/>
          <w:lang w:val="en-US" w:eastAsia="zh-CN"/>
        </w:rPr>
        <w:t>1.86</w:t>
      </w:r>
      <w:r>
        <w:rPr>
          <w:rFonts w:hint="eastAsia" w:ascii="仿宋" w:hAnsi="仿宋" w:eastAsia="仿宋"/>
          <w:sz w:val="32"/>
          <w:szCs w:val="32"/>
        </w:rPr>
        <w:t>万元，增长</w:t>
      </w:r>
      <w:r>
        <w:rPr>
          <w:rFonts w:hint="eastAsia" w:ascii="仿宋" w:hAnsi="仿宋" w:eastAsia="仿宋"/>
          <w:sz w:val="32"/>
          <w:szCs w:val="32"/>
          <w:lang w:val="en-US" w:eastAsia="zh-CN"/>
        </w:rPr>
        <w:t>16.92</w:t>
      </w:r>
      <w:r>
        <w:rPr>
          <w:rFonts w:hint="eastAsia" w:ascii="仿宋" w:hAnsi="仿宋" w:eastAsia="仿宋"/>
          <w:sz w:val="32"/>
          <w:szCs w:val="32"/>
        </w:rPr>
        <w:t>%，主要原因是</w:t>
      </w:r>
      <w:r>
        <w:rPr>
          <w:rFonts w:hint="eastAsia" w:ascii="仿宋" w:hAnsi="仿宋" w:eastAsia="仿宋"/>
          <w:sz w:val="32"/>
          <w:szCs w:val="32"/>
          <w:lang w:val="en-US" w:eastAsia="zh-CN"/>
        </w:rPr>
        <w:t>工会经费和商品服务支出增加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lang w:val="en-US" w:eastAsia="zh-CN"/>
        </w:rPr>
        <w:t>无</w:t>
      </w:r>
      <w:r>
        <w:rPr>
          <w:rFonts w:hint="eastAsia" w:ascii="仿宋" w:hAnsi="仿宋" w:eastAsia="仿宋"/>
          <w:sz w:val="32"/>
          <w:szCs w:val="32"/>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w:t>
      </w:r>
      <w:r>
        <w:rPr>
          <w:rFonts w:hint="eastAsia" w:ascii="仿宋" w:hAnsi="仿宋" w:eastAsia="仿宋"/>
          <w:sz w:val="32"/>
          <w:szCs w:val="32"/>
          <w:lang w:val="en-US" w:eastAsia="zh-CN"/>
        </w:rPr>
        <w:t>无</w:t>
      </w:r>
      <w:r>
        <w:rPr>
          <w:rFonts w:hint="eastAsia" w:ascii="仿宋" w:hAnsi="仿宋" w:eastAsia="仿宋"/>
          <w:sz w:val="32"/>
          <w:szCs w:val="32"/>
        </w:rPr>
        <w:t>车辆。</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 个项目支出的绩效目标和指标向社会公开，涉及金额 </w:t>
      </w:r>
      <w:r>
        <w:rPr>
          <w:rFonts w:hint="eastAsia" w:ascii="仿宋" w:hAnsi="仿宋" w:eastAsia="仿宋"/>
          <w:sz w:val="32"/>
          <w:szCs w:val="32"/>
          <w:lang w:val="en-US" w:eastAsia="zh-CN"/>
        </w:rPr>
        <w:t>1.75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706B9"/>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B437AD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9B10E0"/>
    <w:rsid w:val="56A94595"/>
    <w:rsid w:val="580A299B"/>
    <w:rsid w:val="5B5D76B7"/>
    <w:rsid w:val="5B8E44C5"/>
    <w:rsid w:val="5BA26060"/>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C9834CD"/>
    <w:rsid w:val="6DF0400D"/>
    <w:rsid w:val="6E5B22F8"/>
    <w:rsid w:val="700E2DC7"/>
    <w:rsid w:val="70EF2762"/>
    <w:rsid w:val="71201EF9"/>
    <w:rsid w:val="716F5053"/>
    <w:rsid w:val="729E55FD"/>
    <w:rsid w:val="73D62900"/>
    <w:rsid w:val="73FA7C77"/>
    <w:rsid w:val="744F0BEE"/>
    <w:rsid w:val="746E51AC"/>
    <w:rsid w:val="74A20101"/>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8</Pages>
  <Words>2278</Words>
  <Characters>2518</Characters>
  <Lines>21</Lines>
  <Paragraphs>6</Paragraphs>
  <TotalTime>20</TotalTime>
  <ScaleCrop>false</ScaleCrop>
  <LinksUpToDate>false</LinksUpToDate>
  <CharactersWithSpaces>2606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今生金世</cp:lastModifiedBy>
  <dcterms:modified xsi:type="dcterms:W3CDTF">2026-03-24T06:29:28Z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7C3D7ED644A64C459FBD29AD3CD51921_13</vt:lpwstr>
  </property>
  <property fmtid="{D5CDD505-2E9C-101B-9397-08002B2CF9AE}" pid="4" name="KSOTemplateDocerSaveRecord">
    <vt:lpwstr>eyJoZGlkIjoiYTI2NzU1MDIwN2Y3NGQxMmFmZTkzZDg1ODJlODZlOTYiLCJ1c2VySWQiOiI3MTYwMzI2NDEifQ==</vt:lpwstr>
  </property>
</Properties>
</file>